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B528D">
              <w:t xml:space="preserve"> </w:t>
            </w:r>
            <w:r w:rsidR="00DB528D" w:rsidRPr="00DB528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 "Wprowadzenie nowoczesnych e-usług w podmiotach leczniczych nadzorowanych przez Ministra Zdrowia"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B528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B528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4.4 </w:t>
            </w:r>
          </w:p>
        </w:tc>
        <w:tc>
          <w:tcPr>
            <w:tcW w:w="4678" w:type="dxa"/>
            <w:shd w:val="clear" w:color="auto" w:fill="auto"/>
          </w:tcPr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„Planowane koszty ogólne realizacji (w przypadku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współfinansowanego – wkład krajowy z budżetu państwa) oraz koszty utrzymania</w:t>
            </w:r>
          </w:p>
          <w:p w:rsidR="00A06425" w:rsidRPr="00A06425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projektu” wykre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ślenia wymaga sformułowanie: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będą powodować konieczność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przyznania dodatkowych kwot”</w:t>
            </w:r>
          </w:p>
        </w:tc>
        <w:tc>
          <w:tcPr>
            <w:tcW w:w="5812" w:type="dxa"/>
            <w:shd w:val="clear" w:color="auto" w:fill="auto"/>
          </w:tcPr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W powyższym punkcie należy zawrzeć informację, iż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wydatki budżetu państwa sfinansowane zostaną w ramach zwiększonych nakładów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ochronę zdrowia, wynikających z art. 131c ustawy o świadczeniach opieki zdrowotnej</w:t>
            </w:r>
          </w:p>
          <w:p w:rsidR="00A06425" w:rsidRPr="00A06425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finansowanych ze środków publicznych (tzw. „ustawy 6 %”), bez możliwości ubiegania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się o dodatkowe środki z budżetu państwa.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B528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B528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ogólna </w:t>
            </w:r>
          </w:p>
        </w:tc>
        <w:tc>
          <w:tcPr>
            <w:tcW w:w="4678" w:type="dxa"/>
            <w:shd w:val="clear" w:color="auto" w:fill="auto"/>
          </w:tcPr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W związku z przedstawionym argumentem przemawiającym za wydłużeniem projektu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- wpływ epidemii wywołanej wirusem SARS-CoV-2 na realizację kluczowych dla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projektu zadań, należy przedstawić informację w zakresie: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- jakie próby były podejmowane w celu niwelowania wpływu COVID-19 na program,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- czy możliwość dalszego rozprzestrzeniania się choroby COVID-19 może wpłynąć na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dalsze przesunięcia w harmonogramie, a co za tym idzie zwiększenie jego wartości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kosztowej,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- jakie realne zadania w ramach programu zostały wykonane w trakcie trwania epidemii i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czy nie było możliwości ich przewartościowania,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- czy przewiduje się wzrost stawki godzinowej, a co za tym idzie dalszy wzrost wartości</w:t>
            </w:r>
          </w:p>
          <w:p w:rsidR="00A06425" w:rsidRPr="00A06425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projektu.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B528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MF 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B528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ogólna </w:t>
            </w:r>
          </w:p>
        </w:tc>
        <w:tc>
          <w:tcPr>
            <w:tcW w:w="4678" w:type="dxa"/>
            <w:shd w:val="clear" w:color="auto" w:fill="auto"/>
          </w:tcPr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 xml:space="preserve"> projektowanym systemie będą przetwarzane dane wrażliwe,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zgromadzone dotychczas w wielu systemach informatycznych, niezbędne jest podjęcie środków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 xml:space="preserve">w zakresie zachowania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bezpieczeństwa przetwarzanych danych w oparciu o Rozporządzenie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Parlamentu Europejskiego i Rady (UE) 2016/679 z dnia 27 kwietnia 2016 r. w sprawie ochrony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osób fizycznych w związku z przetwarzaniem danych osobowych i w sprawie swobodnego</w:t>
            </w:r>
          </w:p>
          <w:p w:rsidR="00A06425" w:rsidRPr="00A06425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przepływu takich danych oraz uchylenia dyrektywy 95/46/WE (RODO).</w:t>
            </w:r>
          </w:p>
        </w:tc>
        <w:tc>
          <w:tcPr>
            <w:tcW w:w="5812" w:type="dxa"/>
            <w:shd w:val="clear" w:color="auto" w:fill="auto"/>
          </w:tcPr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Należy wdrożyć wymagania określone w przepisach z zakresu ochrony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osobowych, w tym: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1) zasadę </w:t>
            </w:r>
            <w:proofErr w:type="spellStart"/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privacy</w:t>
            </w:r>
            <w:proofErr w:type="spellEnd"/>
            <w:r w:rsidRPr="00DB528D">
              <w:rPr>
                <w:rFonts w:asciiTheme="minorHAnsi" w:hAnsiTheme="minorHAnsi" w:cstheme="minorHAnsi"/>
                <w:sz w:val="22"/>
                <w:szCs w:val="22"/>
              </w:rPr>
              <w:t xml:space="preserve"> by design i zasadę </w:t>
            </w:r>
            <w:proofErr w:type="spellStart"/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privacy</w:t>
            </w:r>
            <w:proofErr w:type="spellEnd"/>
            <w:r w:rsidRPr="00DB528D">
              <w:rPr>
                <w:rFonts w:asciiTheme="minorHAnsi" w:hAnsiTheme="minorHAnsi" w:cstheme="minorHAnsi"/>
                <w:sz w:val="22"/>
                <w:szCs w:val="22"/>
              </w:rPr>
              <w:t xml:space="preserve"> by </w:t>
            </w:r>
            <w:proofErr w:type="spellStart"/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default</w:t>
            </w:r>
            <w:proofErr w:type="spellEnd"/>
            <w:r w:rsidRPr="00DB528D">
              <w:rPr>
                <w:rFonts w:asciiTheme="minorHAnsi" w:hAnsiTheme="minorHAnsi" w:cstheme="minorHAnsi"/>
                <w:sz w:val="22"/>
                <w:szCs w:val="22"/>
              </w:rPr>
              <w:t xml:space="preserve"> (ochrony danych w fazie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projektowania i domyślnej ochrona danych), o których mowa w art. 25 RODO. Powyższe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zasady powinny być brane pod uwagę zarówno w przypadku realizacji systemu lub jego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komponentów, przez Wnioskodawcę projektu (MZ), jak i przez wykonawców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zewnętrznych, a zatem należy je również uwzględnić w wymogach stawianych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wykonawcom w ramach prowadzonych, w związku z realizacją projektu, podstępowań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przetargowych i zawieranych umów;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2) przeprowadzenie analizy ryzyka;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3) wdrożenie na podstawie przeprowadzonej analizy ryzyka środków technicznych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i organizacyjnych, o których mowa w art. 32 RODO, zapewniających stopień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bezpieczeństwa odpowiadający ryzyku związanemu z przetwarzaniem danych osobowych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w projektowanym systemie;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4) przeprowadzenie oceny skutków dla ochrony danych osobowych, o której mowa w art. 35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RODO.</w:t>
            </w: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B528D" w:rsidRPr="00DB528D" w:rsidRDefault="00DB528D" w:rsidP="00DB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Za przeprowadzeniem oceny skutków dla ochrony danych przemawia między innymi planowana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ilość i kategorie przetwarzanych danych osobowych, w tym danych wrażliwych w ramach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B528D">
              <w:rPr>
                <w:rFonts w:asciiTheme="minorHAnsi" w:hAnsiTheme="minorHAnsi" w:cstheme="minorHAnsi"/>
                <w:sz w:val="22"/>
                <w:szCs w:val="22"/>
              </w:rPr>
              <w:t>funkcjonalności systemu, jak również założenia w zakresie integracji rozbudowanych modułów.</w:t>
            </w:r>
          </w:p>
          <w:p w:rsidR="00A06425" w:rsidRPr="00A06425" w:rsidRDefault="00A06425" w:rsidP="00DB52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9336A"/>
    <w:rsid w:val="00807385"/>
    <w:rsid w:val="00944932"/>
    <w:rsid w:val="009E5FDB"/>
    <w:rsid w:val="00A06425"/>
    <w:rsid w:val="00AC7796"/>
    <w:rsid w:val="00B871B6"/>
    <w:rsid w:val="00C64B1B"/>
    <w:rsid w:val="00CD5EB0"/>
    <w:rsid w:val="00DB528D"/>
    <w:rsid w:val="00E14C33"/>
    <w:rsid w:val="00FB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2</cp:revision>
  <dcterms:created xsi:type="dcterms:W3CDTF">2020-09-09T07:28:00Z</dcterms:created>
  <dcterms:modified xsi:type="dcterms:W3CDTF">2020-09-09T07:28:00Z</dcterms:modified>
</cp:coreProperties>
</file>